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outlineLvl w:val="0"/>
        <w:rPr>
          <w:rFonts w:hint="default"/>
          <w:b/>
          <w:i/>
          <w:sz w:val="28"/>
          <w:highlight w:val="none"/>
          <w:lang w:val="en-US" w:eastAsia="zh-CN"/>
        </w:rPr>
      </w:pPr>
      <w:r>
        <w:rPr>
          <w:rFonts w:cs="Arial"/>
          <w:b/>
          <w:bCs/>
          <w:sz w:val="24"/>
          <w:szCs w:val="24"/>
          <w:highlight w:val="none"/>
        </w:rPr>
        <w:t>3GPP TSG-RAN WG3 Meeting #1</w:t>
      </w:r>
      <w:r>
        <w:rPr>
          <w:rFonts w:hint="default" w:cs="Arial"/>
          <w:b/>
          <w:bCs/>
          <w:sz w:val="24"/>
          <w:szCs w:val="24"/>
          <w:highlight w:val="none"/>
          <w:lang w:val="en-US"/>
        </w:rPr>
        <w:t>21-bis</w:t>
      </w:r>
      <w:r>
        <w:rPr>
          <w:b/>
          <w:i/>
          <w:sz w:val="28"/>
          <w:highlight w:val="none"/>
        </w:rPr>
        <w:tab/>
      </w:r>
      <w:r>
        <w:rPr>
          <w:b/>
          <w:iCs/>
          <w:sz w:val="24"/>
          <w:szCs w:val="18"/>
          <w:highlight w:val="none"/>
        </w:rPr>
        <w:t xml:space="preserve">          </w:t>
      </w:r>
      <w:r>
        <w:rPr>
          <w:rFonts w:hint="eastAsia"/>
          <w:b/>
          <w:iCs/>
          <w:sz w:val="24"/>
          <w:szCs w:val="18"/>
          <w:highlight w:val="none"/>
        </w:rPr>
        <w:t>R3-235677</w:t>
      </w:r>
    </w:p>
    <w:p>
      <w:pPr>
        <w:spacing w:after="0"/>
        <w:jc w:val="both"/>
        <w:outlineLvl w:val="0"/>
        <w:rPr>
          <w:rFonts w:ascii="Arial" w:hAnsi="Arial" w:cs="Arial"/>
          <w:b/>
          <w:bCs/>
          <w:sz w:val="24"/>
          <w:szCs w:val="24"/>
          <w:highlight w:val="none"/>
          <w:lang w:eastAsia="en-US"/>
        </w:rPr>
      </w:pPr>
      <w:r>
        <w:rPr>
          <w:rFonts w:hint="default" w:ascii="Arial" w:hAnsi="Arial" w:cs="Arial"/>
          <w:b/>
          <w:bCs/>
          <w:sz w:val="24"/>
          <w:szCs w:val="24"/>
          <w:highlight w:val="none"/>
          <w:lang w:val="en-US" w:eastAsia="zh-CN"/>
        </w:rPr>
        <w:t>Xiamen</w:t>
      </w:r>
      <w:r>
        <w:rPr>
          <w:rFonts w:ascii="Arial" w:hAnsi="Arial" w:cs="Arial"/>
          <w:b/>
          <w:sz w:val="24"/>
          <w:highlight w:val="none"/>
        </w:rPr>
        <w:t>,</w:t>
      </w:r>
      <w:r>
        <w:rPr>
          <w:rFonts w:hint="default" w:ascii="Arial" w:hAnsi="Arial" w:cs="Arial"/>
          <w:b/>
          <w:sz w:val="24"/>
          <w:highlight w:val="none"/>
          <w:lang w:val="en-US"/>
        </w:rPr>
        <w:t xml:space="preserve"> China</w:t>
      </w:r>
      <w:r>
        <w:rPr>
          <w:rFonts w:ascii="Arial" w:hAnsi="Arial" w:cs="Arial"/>
          <w:b/>
          <w:sz w:val="24"/>
          <w:highlight w:val="none"/>
        </w:rPr>
        <w:t xml:space="preserve"> </w:t>
      </w:r>
      <w:r>
        <w:rPr>
          <w:rFonts w:hint="default" w:ascii="Arial" w:hAnsi="Arial" w:cs="Arial"/>
          <w:b/>
          <w:sz w:val="24"/>
          <w:highlight w:val="none"/>
          <w:lang w:val="en-US"/>
        </w:rPr>
        <w:t>9</w:t>
      </w:r>
      <w:r>
        <w:rPr>
          <w:rFonts w:ascii="Arial" w:hAnsi="Arial"/>
          <w:b/>
          <w:sz w:val="24"/>
          <w:highlight w:val="none"/>
          <w:vertAlign w:val="superscript"/>
          <w:lang w:eastAsia="en-US"/>
        </w:rPr>
        <w:t>th</w:t>
      </w:r>
      <w:r>
        <w:rPr>
          <w:rFonts w:ascii="Arial" w:hAnsi="Arial" w:cs="Arial"/>
          <w:b/>
          <w:sz w:val="24"/>
          <w:highlight w:val="none"/>
        </w:rPr>
        <w:t xml:space="preserve"> - </w:t>
      </w:r>
      <w:r>
        <w:rPr>
          <w:rFonts w:hint="default" w:ascii="Arial" w:hAnsi="Arial" w:cs="Arial"/>
          <w:b/>
          <w:sz w:val="24"/>
          <w:highlight w:val="none"/>
          <w:lang w:val="en-US"/>
        </w:rPr>
        <w:t>13</w:t>
      </w:r>
      <w:r>
        <w:rPr>
          <w:rFonts w:hint="default" w:ascii="Arial" w:hAnsi="Arial" w:cs="Arial"/>
          <w:b/>
          <w:sz w:val="24"/>
          <w:highlight w:val="none"/>
          <w:vertAlign w:val="superscript"/>
          <w:lang w:val="en-US"/>
        </w:rPr>
        <w:t>th</w:t>
      </w:r>
      <w:r>
        <w:rPr>
          <w:rFonts w:ascii="Arial" w:hAnsi="Arial" w:cs="Arial"/>
          <w:b/>
          <w:sz w:val="24"/>
          <w:highlight w:val="none"/>
        </w:rPr>
        <w:t xml:space="preserve"> </w:t>
      </w:r>
      <w:r>
        <w:rPr>
          <w:rFonts w:hint="default" w:ascii="Arial" w:hAnsi="Arial" w:cs="Arial"/>
          <w:b/>
          <w:sz w:val="24"/>
          <w:highlight w:val="none"/>
          <w:lang w:val="en-US"/>
        </w:rPr>
        <w:t>Oct</w:t>
      </w:r>
      <w:r>
        <w:rPr>
          <w:rFonts w:ascii="Arial" w:hAnsi="Arial" w:cs="Arial"/>
          <w:b/>
          <w:sz w:val="24"/>
          <w:highlight w:val="none"/>
        </w:rPr>
        <w:t xml:space="preserve"> 202</w:t>
      </w:r>
      <w:r>
        <w:rPr>
          <w:rFonts w:hint="default" w:ascii="Arial" w:hAnsi="Arial" w:cs="Arial"/>
          <w:b/>
          <w:sz w:val="24"/>
          <w:highlight w:val="none"/>
          <w:lang w:val="en-US"/>
        </w:rPr>
        <w:t>3</w:t>
      </w:r>
    </w:p>
    <w:p>
      <w:pPr>
        <w:pStyle w:val="34"/>
        <w:rPr>
          <w:rFonts w:cs="Arial"/>
          <w:bCs/>
          <w:sz w:val="24"/>
          <w:highlight w:val="none"/>
          <w:lang w:eastAsia="ja-JP"/>
        </w:rPr>
      </w:pPr>
    </w:p>
    <w:p>
      <w:pPr>
        <w:pStyle w:val="34"/>
        <w:rPr>
          <w:rFonts w:cs="Arial"/>
          <w:bCs/>
          <w:sz w:val="24"/>
          <w:highlight w:val="none"/>
          <w:lang w:eastAsia="ja-JP"/>
        </w:rPr>
      </w:pPr>
    </w:p>
    <w:p>
      <w:pPr>
        <w:pStyle w:val="106"/>
        <w:outlineLvl w:val="0"/>
        <w:rPr>
          <w:rFonts w:hint="default" w:eastAsia="宋体"/>
          <w:highlight w:val="none"/>
          <w:lang w:val="en-US" w:eastAsia="zh-CN"/>
        </w:rPr>
      </w:pPr>
      <w:r>
        <w:rPr>
          <w:highlight w:val="none"/>
        </w:rPr>
        <w:t>Agenda Item:</w:t>
      </w:r>
      <w:r>
        <w:rPr>
          <w:highlight w:val="none"/>
        </w:rPr>
        <w:tab/>
      </w:r>
      <w:r>
        <w:rPr>
          <w:rFonts w:hint="default"/>
          <w:highlight w:val="none"/>
          <w:lang w:val="en-US"/>
        </w:rPr>
        <w:t>31</w:t>
      </w:r>
      <w:r>
        <w:rPr>
          <w:rFonts w:hint="eastAsia" w:eastAsia="宋体"/>
          <w:highlight w:val="none"/>
          <w:lang w:val="en-US" w:eastAsia="zh-CN"/>
        </w:rPr>
        <w:t>.1</w:t>
      </w:r>
    </w:p>
    <w:p>
      <w:pPr>
        <w:pStyle w:val="106"/>
        <w:outlineLvl w:val="0"/>
        <w:rPr>
          <w:rFonts w:hint="default" w:eastAsia="宋体"/>
          <w:highlight w:val="none"/>
          <w:lang w:val="en-US" w:eastAsia="zh-CN"/>
        </w:rPr>
      </w:pPr>
      <w:r>
        <w:rPr>
          <w:highlight w:val="none"/>
        </w:rPr>
        <w:t>Source:</w:t>
      </w:r>
      <w:r>
        <w:rPr>
          <w:highlight w:val="none"/>
        </w:rPr>
        <w:tab/>
      </w:r>
      <w:r>
        <w:rPr>
          <w:rFonts w:hint="default"/>
          <w:highlight w:val="none"/>
          <w:lang w:val="en-US"/>
        </w:rPr>
        <w:t xml:space="preserve">ZTE, China Telecom, </w:t>
      </w:r>
      <w:r>
        <w:rPr>
          <w:rFonts w:hint="eastAsia" w:eastAsia="宋体"/>
          <w:highlight w:val="none"/>
          <w:lang w:val="en-US" w:eastAsia="zh-CN"/>
        </w:rPr>
        <w:t>Ericsson, Xiaomi, LG Electronics</w:t>
      </w:r>
      <w:r>
        <w:rPr>
          <w:rFonts w:hint="default" w:eastAsia="宋体"/>
          <w:highlight w:val="none"/>
          <w:lang w:val="en-US" w:eastAsia="zh-CN"/>
        </w:rPr>
        <w:t xml:space="preserve">, China Unicom, CATT, Samsung, CMCC, Nokia, Nokia Shanghai Bell, Qualcomm Incorporated, NEC  </w:t>
      </w:r>
    </w:p>
    <w:p>
      <w:pPr>
        <w:pStyle w:val="106"/>
        <w:ind w:left="1985" w:hanging="1985"/>
        <w:outlineLvl w:val="0"/>
        <w:rPr>
          <w:rFonts w:hint="default"/>
          <w:highlight w:val="none"/>
          <w:lang w:val="en-US" w:eastAsia="ja-JP"/>
        </w:rPr>
      </w:pPr>
      <w:r>
        <w:rPr>
          <w:highlight w:val="none"/>
        </w:rPr>
        <w:t>Title:</w:t>
      </w:r>
      <w:r>
        <w:rPr>
          <w:highlight w:val="none"/>
        </w:rPr>
        <w:tab/>
      </w:r>
      <w:r>
        <w:rPr>
          <w:rFonts w:hint="default"/>
          <w:highlight w:val="none"/>
          <w:lang w:val="en-US"/>
        </w:rPr>
        <w:t xml:space="preserve">Further discussion on </w:t>
      </w:r>
      <w:r>
        <w:rPr>
          <w:rFonts w:hint="default" w:eastAsia="宋体"/>
          <w:highlight w:val="none"/>
          <w:lang w:val="en-US" w:eastAsia="zh-CN"/>
        </w:rPr>
        <w:t>capturing RAN1 agreement in draft CR</w:t>
      </w:r>
    </w:p>
    <w:p>
      <w:pPr>
        <w:pStyle w:val="106"/>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pPr>
        <w:pStyle w:val="2"/>
        <w:rPr>
          <w:rFonts w:cs="Arial"/>
        </w:rPr>
      </w:pPr>
      <w:r>
        <w:rPr>
          <w:rFonts w:cs="Arial"/>
        </w:rPr>
        <w:t>1</w:t>
      </w:r>
      <w:r>
        <w:rPr>
          <w:rFonts w:cs="Arial"/>
        </w:rPr>
        <w:tab/>
      </w:r>
      <w:r>
        <w:rPr>
          <w:rFonts w:cs="Arial"/>
        </w:rPr>
        <w:t>Introduction</w:t>
      </w:r>
    </w:p>
    <w:p>
      <w:pPr>
        <w:pStyle w:val="107"/>
        <w:rPr>
          <w:rFonts w:hint="default" w:eastAsia="宋体"/>
          <w:lang w:val="en-US" w:eastAsia="zh-CN"/>
        </w:rPr>
      </w:pPr>
      <w:r>
        <w:rPr>
          <w:rFonts w:hint="eastAsia" w:eastAsia="宋体"/>
          <w:lang w:val="en-US" w:eastAsia="zh-CN"/>
        </w:rPr>
        <w:t>In</w:t>
      </w:r>
      <w:r>
        <w:rPr>
          <w:rFonts w:hint="default" w:eastAsia="宋体"/>
          <w:lang w:val="en-US" w:eastAsia="zh-CN"/>
        </w:rPr>
        <w:t xml:space="preserve"> previous RAN3 meetings, companies have discussed how to introduce NCR function in Rel-18.  In this meeting, we prefer to further discuss the remaining issue left after RAN3#119 on whether RAN3 shall capture RAN1 agreement in draft CR to TS38.300.</w:t>
      </w:r>
    </w:p>
    <w:p>
      <w:pPr>
        <w:pStyle w:val="2"/>
        <w:rPr>
          <w:rFonts w:hint="default" w:eastAsia="宋体" w:cs="Arial"/>
          <w:lang w:val="en-US" w:eastAsia="zh-CN"/>
        </w:rPr>
      </w:pPr>
      <w:r>
        <w:rPr>
          <w:rFonts w:hint="eastAsia" w:eastAsia="宋体"/>
          <w:lang w:val="en-US" w:eastAsia="zh-CN"/>
        </w:rPr>
        <w:t>2</w:t>
      </w:r>
      <w:r>
        <w:rPr>
          <w:rFonts w:cs="Arial"/>
        </w:rPr>
        <w:tab/>
      </w:r>
      <w:r>
        <w:rPr>
          <w:rFonts w:hint="eastAsia" w:eastAsia="宋体" w:cs="Arial"/>
          <w:lang w:val="en-US" w:eastAsia="zh-CN"/>
        </w:rPr>
        <w:t>Discussion</w:t>
      </w:r>
    </w:p>
    <w:p>
      <w:pPr>
        <w:pStyle w:val="107"/>
        <w:rPr>
          <w:rFonts w:hint="eastAsia" w:eastAsia="宋体"/>
          <w:b w:val="0"/>
          <w:bCs w:val="0"/>
          <w:lang w:val="en-US" w:eastAsia="zh-CN"/>
        </w:rPr>
      </w:pPr>
      <w:r>
        <w:rPr>
          <w:rFonts w:hint="eastAsia" w:eastAsia="宋体"/>
          <w:b w:val="0"/>
          <w:bCs w:val="0"/>
          <w:lang w:val="en-US" w:eastAsia="zh-CN"/>
        </w:rPr>
        <w:t>The following agreement on NCR has been agreed by RAN1 in RAN1#111:</w:t>
      </w:r>
    </w:p>
    <w:p>
      <w:pPr>
        <w:snapToGrid w:val="0"/>
        <w:spacing w:after="0"/>
        <w:rPr>
          <w:rFonts w:eastAsia="等线"/>
          <w:i/>
          <w:iCs/>
          <w:color w:val="00B050"/>
        </w:rPr>
      </w:pPr>
      <w:bookmarkStart w:id="0" w:name="OLE_LINK5"/>
      <w:r>
        <w:rPr>
          <w:bCs/>
          <w:i/>
          <w:iCs/>
          <w:color w:val="00B050"/>
        </w:rPr>
        <w:t xml:space="preserve">The following is supported to </w:t>
      </w:r>
      <w:r>
        <w:rPr>
          <w:rFonts w:eastAsia="等线"/>
          <w:i/>
          <w:iCs/>
          <w:color w:val="00B050"/>
        </w:rPr>
        <w:t xml:space="preserve">deliver the information to characterize the supported physical beam of NCR-Fwd for access link: </w:t>
      </w:r>
    </w:p>
    <w:p>
      <w:pPr>
        <w:tabs>
          <w:tab w:val="left" w:pos="1304"/>
          <w:tab w:val="left" w:pos="1440"/>
          <w:tab w:val="left" w:pos="2160"/>
        </w:tabs>
        <w:snapToGrid w:val="0"/>
        <w:spacing w:after="0"/>
        <w:rPr>
          <w:i/>
          <w:iCs/>
          <w:color w:val="00B050"/>
          <w:lang w:eastAsia="zh-CN"/>
        </w:rPr>
      </w:pPr>
      <w:r>
        <w:rPr>
          <w:i/>
          <w:iCs/>
          <w:color w:val="00B050"/>
          <w:lang w:eastAsia="zh-CN"/>
        </w:rPr>
        <w:t>Option-2: The information is informed to gNB and NCR via OAM</w:t>
      </w:r>
    </w:p>
    <w:p>
      <w:pPr>
        <w:pStyle w:val="115"/>
        <w:widowControl/>
        <w:numPr>
          <w:ilvl w:val="0"/>
          <w:numId w:val="1"/>
        </w:numPr>
        <w:overflowPunct w:val="0"/>
        <w:autoSpaceDE w:val="0"/>
        <w:autoSpaceDN w:val="0"/>
        <w:adjustRightInd w:val="0"/>
        <w:snapToGrid w:val="0"/>
        <w:ind w:leftChars="0"/>
        <w:jc w:val="left"/>
        <w:textAlignment w:val="baseline"/>
        <w:rPr>
          <w:rFonts w:ascii="Times New Roman" w:hAnsi="Times New Roman"/>
          <w:i/>
          <w:iCs/>
          <w:color w:val="00B050"/>
          <w:sz w:val="20"/>
          <w:szCs w:val="20"/>
        </w:rPr>
      </w:pPr>
      <w:r>
        <w:rPr>
          <w:rFonts w:ascii="Times New Roman" w:hAnsi="Times New Roman"/>
          <w:i/>
          <w:iCs/>
          <w:color w:val="00B050"/>
          <w:sz w:val="20"/>
          <w:szCs w:val="20"/>
        </w:rPr>
        <w:t>Note-1: In this option, how to characterize the beam information is based on implementation (e.g., declaration from NCR vendor).</w:t>
      </w:r>
    </w:p>
    <w:p>
      <w:pPr>
        <w:pStyle w:val="115"/>
        <w:widowControl/>
        <w:numPr>
          <w:ilvl w:val="0"/>
          <w:numId w:val="1"/>
        </w:numPr>
        <w:overflowPunct w:val="0"/>
        <w:autoSpaceDE w:val="0"/>
        <w:autoSpaceDN w:val="0"/>
        <w:adjustRightInd w:val="0"/>
        <w:snapToGrid w:val="0"/>
        <w:ind w:leftChars="0"/>
        <w:jc w:val="left"/>
        <w:textAlignment w:val="baseline"/>
        <w:rPr>
          <w:rFonts w:ascii="Times New Roman" w:hAnsi="Times New Roman"/>
          <w:i/>
          <w:iCs/>
          <w:color w:val="00B050"/>
          <w:sz w:val="20"/>
          <w:szCs w:val="20"/>
        </w:rPr>
      </w:pPr>
      <w:r>
        <w:rPr>
          <w:rFonts w:ascii="Times New Roman" w:hAnsi="Times New Roman"/>
          <w:i/>
          <w:iCs/>
          <w:color w:val="00B050"/>
          <w:sz w:val="20"/>
          <w:szCs w:val="20"/>
        </w:rPr>
        <w:t xml:space="preserve">Note-2: In this option, the beam(s) used by NCR-Fwd for access link is configured for gNB and NCR by OAM based on implementation. </w:t>
      </w:r>
    </w:p>
    <w:p>
      <w:pPr>
        <w:pStyle w:val="115"/>
        <w:widowControl/>
        <w:numPr>
          <w:ilvl w:val="1"/>
          <w:numId w:val="1"/>
        </w:numPr>
        <w:overflowPunct w:val="0"/>
        <w:autoSpaceDE w:val="0"/>
        <w:autoSpaceDN w:val="0"/>
        <w:adjustRightInd w:val="0"/>
        <w:snapToGrid w:val="0"/>
        <w:ind w:leftChars="0"/>
        <w:jc w:val="left"/>
        <w:textAlignment w:val="baseline"/>
        <w:rPr>
          <w:rFonts w:ascii="Times New Roman" w:hAnsi="Times New Roman"/>
          <w:i/>
          <w:iCs/>
          <w:color w:val="00B050"/>
          <w:sz w:val="20"/>
          <w:szCs w:val="20"/>
        </w:rPr>
      </w:pPr>
      <w:r>
        <w:rPr>
          <w:rFonts w:ascii="Times New Roman" w:hAnsi="Times New Roman"/>
          <w:i/>
          <w:iCs/>
          <w:color w:val="00B050"/>
          <w:sz w:val="20"/>
          <w:szCs w:val="20"/>
        </w:rPr>
        <w:t xml:space="preserve">The beam index in SCI corresponds to the configured beam(s) sequentially. </w:t>
      </w:r>
    </w:p>
    <w:bookmarkEnd w:id="0"/>
    <w:p>
      <w:pPr>
        <w:pStyle w:val="107"/>
        <w:rPr>
          <w:rFonts w:hint="default" w:eastAsia="宋体"/>
          <w:b w:val="0"/>
          <w:bCs w:val="0"/>
          <w:lang w:val="en-US" w:eastAsia="zh-CN"/>
        </w:rPr>
      </w:pPr>
      <w:r>
        <w:rPr>
          <w:rFonts w:hint="default" w:eastAsia="宋体"/>
          <w:b w:val="0"/>
          <w:bCs w:val="0"/>
          <w:lang w:val="en-US" w:eastAsia="zh-CN"/>
        </w:rPr>
        <w:t>In RAN3#119, companies briefly discussed whether to capture this agreement in our draft CR to TS 38.300 and made no consensus. Till now, The agreement made by RAN1 on NCR beam info from OAM to gNB and NCR is not captured in draft CR to TS 38.300. Based on our understanding, RAN3 is the appropriate WG to capture the above agreement in our draft CR.</w:t>
      </w:r>
    </w:p>
    <w:p>
      <w:pPr>
        <w:pStyle w:val="107"/>
        <w:rPr>
          <w:rFonts w:hint="default" w:eastAsia="宋体"/>
          <w:b w:val="0"/>
          <w:bCs w:val="0"/>
          <w:lang w:val="en-US" w:eastAsia="zh-CN"/>
        </w:rPr>
      </w:pPr>
      <w:r>
        <w:rPr>
          <w:rFonts w:hint="default" w:eastAsia="宋体"/>
          <w:b w:val="0"/>
          <w:bCs w:val="0"/>
          <w:lang w:val="en-US" w:eastAsia="zh-CN"/>
        </w:rPr>
        <w:t xml:space="preserve"> Our views are shown below:</w:t>
      </w:r>
    </w:p>
    <w:p>
      <w:pPr>
        <w:pStyle w:val="107"/>
        <w:numPr>
          <w:ilvl w:val="0"/>
          <w:numId w:val="2"/>
        </w:numPr>
        <w:ind w:left="55" w:leftChars="0" w:firstLine="0" w:firstLineChars="0"/>
        <w:rPr>
          <w:rFonts w:hint="default" w:eastAsia="宋体"/>
          <w:b w:val="0"/>
          <w:bCs w:val="0"/>
          <w:u w:val="single"/>
          <w:lang w:val="en-US" w:eastAsia="zh-CN"/>
        </w:rPr>
      </w:pPr>
      <w:bookmarkStart w:id="1" w:name="OLE_LINK2"/>
      <w:r>
        <w:rPr>
          <w:rFonts w:hint="default" w:eastAsia="宋体"/>
          <w:b w:val="0"/>
          <w:bCs w:val="0"/>
          <w:u w:val="single"/>
          <w:lang w:val="en-US" w:eastAsia="zh-CN"/>
        </w:rPr>
        <w:t>RAN1 can not capture this agreement by itself.</w:t>
      </w:r>
    </w:p>
    <w:bookmarkEnd w:id="1"/>
    <w:p>
      <w:pPr>
        <w:pStyle w:val="107"/>
        <w:rPr>
          <w:rFonts w:hint="eastAsia" w:eastAsia="宋体"/>
          <w:b w:val="0"/>
          <w:bCs w:val="0"/>
          <w:lang w:val="en-US" w:eastAsia="zh-CN"/>
        </w:rPr>
      </w:pPr>
      <w:r>
        <w:rPr>
          <w:rFonts w:hint="eastAsia" w:eastAsia="宋体"/>
          <w:b w:val="0"/>
          <w:bCs w:val="0"/>
          <w:lang w:val="en-US" w:eastAsia="zh-CN"/>
        </w:rPr>
        <w:t>It is clear that RAN1 can not agree any CR to TS 38.300 which is used to capture its above agreement. Considering the agreement is about the beam info configured from OAM to gNB and NCR for the NCR</w:t>
      </w:r>
      <w:r>
        <w:rPr>
          <w:rFonts w:hint="default" w:eastAsia="宋体"/>
          <w:b w:val="0"/>
          <w:bCs w:val="0"/>
          <w:lang w:val="en-US" w:eastAsia="zh-CN"/>
        </w:rPr>
        <w:t>’</w:t>
      </w:r>
      <w:r>
        <w:rPr>
          <w:rFonts w:hint="eastAsia" w:eastAsia="宋体"/>
          <w:b w:val="0"/>
          <w:bCs w:val="0"/>
          <w:lang w:val="en-US" w:eastAsia="zh-CN"/>
        </w:rPr>
        <w:t>s operation, compared with RAN2, RAN3 may be the proper WG to capture this agreement.</w:t>
      </w:r>
    </w:p>
    <w:p>
      <w:pPr>
        <w:pStyle w:val="107"/>
        <w:rPr>
          <w:rFonts w:hint="default" w:eastAsia="宋体"/>
          <w:b/>
          <w:bCs/>
          <w:lang w:val="en-US" w:eastAsia="zh-CN"/>
        </w:rPr>
      </w:pPr>
      <w:r>
        <w:rPr>
          <w:rFonts w:hint="default" w:eastAsia="宋体"/>
          <w:b/>
          <w:bCs/>
          <w:lang w:val="en-US" w:eastAsia="zh-CN"/>
        </w:rPr>
        <w:t xml:space="preserve">Observation </w:t>
      </w:r>
      <w:r>
        <w:rPr>
          <w:rFonts w:hint="eastAsia" w:eastAsia="宋体"/>
          <w:b/>
          <w:bCs/>
          <w:lang w:val="en-US" w:eastAsia="zh-CN"/>
        </w:rPr>
        <w:t>1</w:t>
      </w:r>
      <w:r>
        <w:rPr>
          <w:rFonts w:hint="default" w:eastAsia="宋体"/>
          <w:b/>
          <w:bCs/>
          <w:lang w:val="en-US" w:eastAsia="zh-CN"/>
        </w:rPr>
        <w:t>: RAN1 can not agree any CR to TS38.300 which may capture the agreement made during RAN1#111.</w:t>
      </w:r>
    </w:p>
    <w:p>
      <w:pPr>
        <w:pStyle w:val="107"/>
        <w:rPr>
          <w:rFonts w:hint="default" w:eastAsia="宋体"/>
          <w:b/>
          <w:bCs/>
          <w:lang w:val="en-US" w:eastAsia="zh-CN"/>
        </w:rPr>
      </w:pPr>
      <w:r>
        <w:rPr>
          <w:rFonts w:hint="default" w:eastAsia="宋体"/>
          <w:b/>
          <w:bCs/>
          <w:lang w:val="en-US" w:eastAsia="zh-CN"/>
        </w:rPr>
        <w:t xml:space="preserve">Observation </w:t>
      </w:r>
      <w:r>
        <w:rPr>
          <w:rFonts w:hint="eastAsia" w:eastAsia="宋体"/>
          <w:b/>
          <w:bCs/>
          <w:lang w:val="en-US" w:eastAsia="zh-CN"/>
        </w:rPr>
        <w:t>2</w:t>
      </w:r>
      <w:r>
        <w:rPr>
          <w:rFonts w:hint="default" w:eastAsia="宋体"/>
          <w:b/>
          <w:bCs/>
          <w:lang w:val="en-US" w:eastAsia="zh-CN"/>
        </w:rPr>
        <w:t>: Compared with RAN2, it is proposed for RAN3 to capture the agreement on beam info configuration from OAM to gNB and NCR into a draft CR to TS 38.300.</w:t>
      </w:r>
    </w:p>
    <w:p>
      <w:pPr>
        <w:pStyle w:val="107"/>
        <w:numPr>
          <w:ilvl w:val="0"/>
          <w:numId w:val="2"/>
        </w:numPr>
        <w:ind w:left="55" w:leftChars="0" w:firstLine="0" w:firstLineChars="0"/>
        <w:rPr>
          <w:rFonts w:hint="default" w:eastAsia="宋体"/>
          <w:b w:val="0"/>
          <w:bCs w:val="0"/>
          <w:u w:val="single"/>
          <w:lang w:val="en-US" w:eastAsia="zh-CN"/>
        </w:rPr>
      </w:pPr>
      <w:r>
        <w:rPr>
          <w:rFonts w:hint="default" w:eastAsia="宋体"/>
          <w:b w:val="0"/>
          <w:bCs w:val="0"/>
          <w:u w:val="single"/>
          <w:lang w:val="en-US" w:eastAsia="zh-CN"/>
        </w:rPr>
        <w:t>Similar description on OAM configuration has been captured in current TS 38.300.</w:t>
      </w:r>
    </w:p>
    <w:p>
      <w:pPr>
        <w:pStyle w:val="107"/>
        <w:numPr>
          <w:ilvl w:val="0"/>
          <w:numId w:val="0"/>
        </w:numPr>
        <w:spacing w:after="180"/>
        <w:rPr>
          <w:rFonts w:hint="default" w:eastAsia="宋体"/>
          <w:b w:val="0"/>
          <w:bCs w:val="0"/>
          <w:lang w:val="en-US" w:eastAsia="zh-CN"/>
        </w:rPr>
      </w:pPr>
      <w:r>
        <w:rPr>
          <w:rFonts w:hint="default" w:eastAsia="宋体"/>
          <w:b w:val="0"/>
          <w:bCs w:val="0"/>
          <w:lang w:val="en-US" w:eastAsia="zh-CN"/>
        </w:rPr>
        <w:t>As OAM requirements are in RAN3 scope, RAN3 should capture this agreement in stage 2. An agreement in a WG Chair’s Notes or in a summary of discussion, cannot be considered as normative if not reflected in the specifications.</w:t>
      </w:r>
      <w:r>
        <w:rPr>
          <w:rFonts w:hint="eastAsia" w:eastAsia="宋体"/>
          <w:b w:val="0"/>
          <w:bCs w:val="0"/>
          <w:lang w:val="en-US" w:eastAsia="zh-CN"/>
        </w:rPr>
        <w:t xml:space="preserve"> </w:t>
      </w:r>
      <w:r>
        <w:rPr>
          <w:rFonts w:hint="default" w:eastAsia="宋体"/>
          <w:b w:val="0"/>
          <w:bCs w:val="0"/>
          <w:lang w:val="en-US" w:eastAsia="zh-CN"/>
        </w:rPr>
        <w:t>In addition, we may also point out that the similar description has already been captured in current TS 38.300. The following content on OAM shall configure some parameters for MRO behaviour can be found in section 15.5.2.5 O&amp;M Requirements, TS 38.300:</w:t>
      </w:r>
    </w:p>
    <w:p>
      <w:pPr>
        <w:pStyle w:val="107"/>
        <w:numPr>
          <w:ilvl w:val="0"/>
          <w:numId w:val="0"/>
        </w:numPr>
        <w:spacing w:after="180"/>
        <w:jc w:val="center"/>
        <w:rPr>
          <w:rFonts w:hint="default" w:eastAsia="宋体"/>
          <w:b w:val="0"/>
          <w:bCs w:val="0"/>
          <w:color w:val="FF0000"/>
          <w:lang w:val="en-US" w:eastAsia="zh-CN"/>
        </w:rPr>
      </w:pPr>
      <w:r>
        <w:rPr>
          <w:rFonts w:hint="default" w:eastAsia="宋体"/>
          <w:b w:val="0"/>
          <w:bCs w:val="0"/>
          <w:color w:val="FF0000"/>
          <w:lang w:val="en-US" w:eastAsia="zh-CN"/>
        </w:rPr>
        <w:t>==== content in TS 38.300====</w:t>
      </w:r>
    </w:p>
    <w:p>
      <w:pPr>
        <w:rPr>
          <w:highlight w:val="none"/>
        </w:rPr>
      </w:pPr>
      <w:r>
        <w:rPr>
          <w:highlight w:val="none"/>
        </w:rPr>
        <w:t>The following control parameters shall be provided by OAM to control MRO behaviour:</w:t>
      </w:r>
    </w:p>
    <w:p>
      <w:pPr>
        <w:pStyle w:val="94"/>
      </w:pPr>
      <w:r>
        <w:t>-</w:t>
      </w:r>
      <w:r>
        <w:tab/>
      </w:r>
      <w:r>
        <w:t>Maximum deviation of Handover Trigger:</w:t>
      </w:r>
      <w:r>
        <w:rPr>
          <w:lang w:eastAsia="zh-CN"/>
        </w:rPr>
        <w:t xml:space="preserve"> </w:t>
      </w:r>
      <w:r>
        <w:t>this parameter defines the maximum allowed absolute deviation of the Handover Trigger, from the default point of operation defined by the parameter values assigned by OAM.</w:t>
      </w:r>
    </w:p>
    <w:p>
      <w:pPr>
        <w:pStyle w:val="94"/>
      </w:pPr>
      <w:r>
        <w:t>-</w:t>
      </w:r>
      <w:r>
        <w:tab/>
      </w:r>
      <w:r>
        <w:t>Minimum time between Handover Trigger changes: this parameter defines the minimum allowed time interval between two Handover Trigger change performed by MRO. This is used to control the stability and convergence of the algorithm.</w:t>
      </w:r>
    </w:p>
    <w:p>
      <w:pPr>
        <w:rPr>
          <w:rFonts w:hint="default" w:eastAsia="宋体"/>
          <w:b w:val="0"/>
          <w:bCs w:val="0"/>
          <w:lang w:val="en-US" w:eastAsia="zh-CN"/>
        </w:rPr>
      </w:pPr>
      <w:r>
        <w:t xml:space="preserve">Furthermore, in order to support the solutions for detection of </w:t>
      </w:r>
      <w:r>
        <w:rPr>
          <w:lang w:eastAsia="zh-CN"/>
        </w:rPr>
        <w:t>mobility optimisation</w:t>
      </w:r>
      <w:r>
        <w:t xml:space="preserve">, the parameter </w:t>
      </w:r>
      <w:r>
        <w:rPr>
          <w:i/>
          <w:iCs/>
        </w:rPr>
        <w:t>Tstore_UE_cntxt</w:t>
      </w:r>
      <w:r>
        <w:t xml:space="preserve"> shall be configurable by the OAM system.</w:t>
      </w:r>
    </w:p>
    <w:p>
      <w:pPr>
        <w:pStyle w:val="107"/>
        <w:numPr>
          <w:ilvl w:val="0"/>
          <w:numId w:val="0"/>
        </w:numPr>
        <w:spacing w:after="180"/>
        <w:jc w:val="center"/>
        <w:rPr>
          <w:rFonts w:hint="default" w:eastAsia="宋体"/>
          <w:b w:val="0"/>
          <w:bCs w:val="0"/>
          <w:color w:val="FF0000"/>
          <w:lang w:val="en-US" w:eastAsia="zh-CN"/>
        </w:rPr>
      </w:pPr>
      <w:r>
        <w:rPr>
          <w:rFonts w:hint="default" w:eastAsia="宋体"/>
          <w:b w:val="0"/>
          <w:bCs w:val="0"/>
          <w:color w:val="FF0000"/>
          <w:lang w:val="en-US" w:eastAsia="zh-CN"/>
        </w:rPr>
        <w:t>==== content in TS 38.300====</w:t>
      </w:r>
    </w:p>
    <w:p>
      <w:pPr>
        <w:pStyle w:val="107"/>
        <w:numPr>
          <w:ilvl w:val="0"/>
          <w:numId w:val="0"/>
        </w:numPr>
        <w:spacing w:after="180"/>
        <w:rPr>
          <w:rFonts w:hint="default" w:eastAsia="宋体"/>
          <w:b/>
          <w:bCs/>
          <w:lang w:val="en-US" w:eastAsia="zh-CN"/>
        </w:rPr>
      </w:pPr>
      <w:r>
        <w:rPr>
          <w:rFonts w:hint="default" w:eastAsia="宋体"/>
          <w:b/>
          <w:bCs/>
          <w:lang w:val="en-US" w:eastAsia="zh-CN"/>
        </w:rPr>
        <w:t xml:space="preserve">Observation </w:t>
      </w:r>
      <w:r>
        <w:rPr>
          <w:rFonts w:hint="eastAsia" w:eastAsia="宋体"/>
          <w:b/>
          <w:bCs/>
          <w:lang w:val="en-US" w:eastAsia="zh-CN"/>
        </w:rPr>
        <w:t>3</w:t>
      </w:r>
      <w:r>
        <w:rPr>
          <w:rFonts w:hint="default" w:eastAsia="宋体"/>
          <w:b/>
          <w:bCs/>
          <w:lang w:val="en-US" w:eastAsia="zh-CN"/>
        </w:rPr>
        <w:t xml:space="preserve">: </w:t>
      </w:r>
      <w:bookmarkStart w:id="2" w:name="OLE_LINK1"/>
      <w:r>
        <w:rPr>
          <w:rFonts w:hint="default" w:eastAsia="宋体"/>
          <w:b/>
          <w:bCs/>
          <w:lang w:val="en-US" w:eastAsia="zh-CN"/>
        </w:rPr>
        <w:t>The statement on which parameters shall be provided by</w:t>
      </w:r>
      <w:bookmarkStart w:id="4" w:name="_GoBack"/>
      <w:bookmarkEnd w:id="4"/>
      <w:r>
        <w:rPr>
          <w:rFonts w:hint="default" w:eastAsia="宋体"/>
          <w:b/>
          <w:bCs/>
          <w:lang w:val="en-US" w:eastAsia="zh-CN"/>
        </w:rPr>
        <w:t xml:space="preserve"> OAM, has been captured into current TS 38.300.</w:t>
      </w:r>
      <w:bookmarkEnd w:id="2"/>
    </w:p>
    <w:p>
      <w:pPr>
        <w:pStyle w:val="107"/>
        <w:numPr>
          <w:ilvl w:val="0"/>
          <w:numId w:val="0"/>
        </w:numPr>
        <w:spacing w:after="180"/>
        <w:rPr>
          <w:rFonts w:hint="default" w:eastAsia="宋体"/>
          <w:b w:val="0"/>
          <w:bCs w:val="0"/>
          <w:highlight w:val="none"/>
          <w:lang w:val="en-US" w:eastAsia="zh-CN"/>
        </w:rPr>
      </w:pPr>
      <w:r>
        <w:rPr>
          <w:rFonts w:hint="default" w:eastAsia="宋体"/>
          <w:b w:val="0"/>
          <w:bCs w:val="0"/>
          <w:lang w:val="en-US" w:eastAsia="zh-CN"/>
        </w:rPr>
        <w:t>In short, based on our understanding,</w:t>
      </w:r>
      <w:r>
        <w:rPr>
          <w:rFonts w:ascii="Arial" w:hAnsi="Arial" w:eastAsia="宋体" w:cs="Arial"/>
          <w:i w:val="0"/>
          <w:iCs w:val="0"/>
          <w:caps w:val="0"/>
          <w:spacing w:val="0"/>
          <w:sz w:val="20"/>
          <w:szCs w:val="20"/>
          <w:shd w:val="clear"/>
          <w:lang w:val="en-US" w:eastAsia="zh-CN"/>
        </w:rPr>
        <w:t xml:space="preserve"> it is not only appropriate, but also necessary for RAN3 to capture the above agreement in the draft CR.</w:t>
      </w:r>
      <w:r>
        <w:rPr>
          <w:rFonts w:hint="default" w:eastAsia="宋体"/>
          <w:b w:val="0"/>
          <w:bCs w:val="0"/>
          <w:lang w:val="en-US" w:eastAsia="zh-CN"/>
        </w:rPr>
        <w:t xml:space="preserve"> More detail modification can be found in our contribution </w:t>
      </w:r>
      <w:r>
        <w:rPr>
          <w:rFonts w:hint="default" w:eastAsia="宋体"/>
          <w:b w:val="0"/>
          <w:bCs w:val="0"/>
          <w:highlight w:val="none"/>
          <w:lang w:val="en-US" w:eastAsia="zh-CN"/>
        </w:rPr>
        <w:t>R3-235676.</w:t>
      </w:r>
    </w:p>
    <w:p>
      <w:pPr>
        <w:pStyle w:val="107"/>
        <w:numPr>
          <w:ilvl w:val="0"/>
          <w:numId w:val="0"/>
        </w:numPr>
        <w:spacing w:after="180"/>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w:t>
      </w:r>
      <w:r>
        <w:rPr>
          <w:rFonts w:hint="default" w:eastAsia="宋体"/>
          <w:b/>
          <w:bCs/>
          <w:lang w:val="en-US" w:eastAsia="zh-CN"/>
        </w:rPr>
        <w:t>: It is proposed for RAN3 to capture the RAN1 agreement in draft CR to TS 38.300.</w:t>
      </w:r>
    </w:p>
    <w:p>
      <w:pPr>
        <w:pStyle w:val="107"/>
        <w:numPr>
          <w:ilvl w:val="0"/>
          <w:numId w:val="0"/>
        </w:numPr>
        <w:spacing w:after="180"/>
        <w:rPr>
          <w:rFonts w:hint="default" w:eastAsia="宋体"/>
          <w:b/>
          <w:bCs/>
          <w:lang w:val="en-US" w:eastAsia="zh-CN"/>
        </w:rPr>
      </w:pPr>
    </w:p>
    <w:p>
      <w:pPr>
        <w:pStyle w:val="2"/>
        <w:rPr>
          <w:rFonts w:hint="default" w:cs="Arial"/>
          <w:lang w:val="en-US"/>
        </w:rPr>
      </w:pPr>
      <w:bookmarkStart w:id="3" w:name="OLE_LINK3"/>
      <w:r>
        <w:rPr>
          <w:rFonts w:hint="default"/>
          <w:lang w:val="en-US"/>
        </w:rPr>
        <w:t>3</w:t>
      </w:r>
      <w:r>
        <w:rPr>
          <w:rFonts w:cs="Arial"/>
        </w:rPr>
        <w:tab/>
      </w:r>
      <w:r>
        <w:rPr>
          <w:rFonts w:hint="default" w:cs="Arial"/>
          <w:lang w:val="en-US"/>
        </w:rPr>
        <w:t>Conclusion</w:t>
      </w:r>
    </w:p>
    <w:bookmarkEnd w:id="3"/>
    <w:p>
      <w:pPr>
        <w:pStyle w:val="107"/>
        <w:rPr>
          <w:rFonts w:hint="default" w:eastAsia="宋体"/>
          <w:b/>
          <w:bCs/>
          <w:lang w:val="en-US" w:eastAsia="zh-CN"/>
        </w:rPr>
      </w:pPr>
      <w:r>
        <w:rPr>
          <w:rFonts w:hint="default" w:eastAsia="宋体"/>
          <w:b/>
          <w:bCs/>
          <w:lang w:val="en-US" w:eastAsia="zh-CN"/>
        </w:rPr>
        <w:t xml:space="preserve">Observation </w:t>
      </w:r>
      <w:r>
        <w:rPr>
          <w:rFonts w:hint="eastAsia" w:eastAsia="宋体"/>
          <w:b/>
          <w:bCs/>
          <w:lang w:val="en-US" w:eastAsia="zh-CN"/>
        </w:rPr>
        <w:t>1</w:t>
      </w:r>
      <w:r>
        <w:rPr>
          <w:rFonts w:hint="default" w:eastAsia="宋体"/>
          <w:b/>
          <w:bCs/>
          <w:lang w:val="en-US" w:eastAsia="zh-CN"/>
        </w:rPr>
        <w:t>: RAN1 can not agree any CR to TS38.300 which may capture the agreement made during RAN1#111.</w:t>
      </w:r>
    </w:p>
    <w:p>
      <w:pPr>
        <w:pStyle w:val="107"/>
        <w:rPr>
          <w:rFonts w:hint="default" w:eastAsia="宋体"/>
          <w:b/>
          <w:bCs/>
          <w:lang w:val="en-US" w:eastAsia="zh-CN"/>
        </w:rPr>
      </w:pPr>
      <w:r>
        <w:rPr>
          <w:rFonts w:hint="default" w:eastAsia="宋体"/>
          <w:b/>
          <w:bCs/>
          <w:lang w:val="en-US" w:eastAsia="zh-CN"/>
        </w:rPr>
        <w:t xml:space="preserve">Observation </w:t>
      </w:r>
      <w:r>
        <w:rPr>
          <w:rFonts w:hint="eastAsia" w:eastAsia="宋体"/>
          <w:b/>
          <w:bCs/>
          <w:lang w:val="en-US" w:eastAsia="zh-CN"/>
        </w:rPr>
        <w:t>2</w:t>
      </w:r>
      <w:r>
        <w:rPr>
          <w:rFonts w:hint="default" w:eastAsia="宋体"/>
          <w:b/>
          <w:bCs/>
          <w:lang w:val="en-US" w:eastAsia="zh-CN"/>
        </w:rPr>
        <w:t>: Compared with RAN2, it is proposed for RAN3 to capture the agreement on beam info configuration from OAM to gNB and NCR into a draft CR to TS 38.300.</w:t>
      </w:r>
    </w:p>
    <w:p>
      <w:pPr>
        <w:pStyle w:val="107"/>
        <w:numPr>
          <w:ilvl w:val="0"/>
          <w:numId w:val="0"/>
        </w:numPr>
        <w:spacing w:after="180"/>
        <w:rPr>
          <w:rFonts w:hint="default" w:eastAsia="宋体"/>
          <w:b/>
          <w:bCs/>
          <w:lang w:val="en-US" w:eastAsia="zh-CN"/>
        </w:rPr>
      </w:pPr>
      <w:r>
        <w:rPr>
          <w:rFonts w:hint="default" w:eastAsia="宋体"/>
          <w:b/>
          <w:bCs/>
          <w:lang w:val="en-US" w:eastAsia="zh-CN"/>
        </w:rPr>
        <w:t xml:space="preserve">Observation </w:t>
      </w:r>
      <w:r>
        <w:rPr>
          <w:rFonts w:hint="eastAsia" w:eastAsia="宋体"/>
          <w:b/>
          <w:bCs/>
          <w:lang w:val="en-US" w:eastAsia="zh-CN"/>
        </w:rPr>
        <w:t>3</w:t>
      </w:r>
      <w:r>
        <w:rPr>
          <w:rFonts w:hint="default" w:eastAsia="宋体"/>
          <w:b/>
          <w:bCs/>
          <w:lang w:val="en-US" w:eastAsia="zh-CN"/>
        </w:rPr>
        <w:t>: The statement on which parameters shall be provided by OAM, has been captured into current TS 38.300.</w:t>
      </w:r>
    </w:p>
    <w:p>
      <w:pPr>
        <w:pStyle w:val="107"/>
        <w:numPr>
          <w:ilvl w:val="0"/>
          <w:numId w:val="0"/>
        </w:numPr>
        <w:spacing w:after="180"/>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w:t>
      </w:r>
      <w:r>
        <w:rPr>
          <w:rFonts w:hint="default" w:eastAsia="宋体"/>
          <w:b/>
          <w:bCs/>
          <w:lang w:val="en-US" w:eastAsia="zh-CN"/>
        </w:rPr>
        <w:t>: It is proposed for RAN3 to capture the RAN1 agreement in draft CR to TS 38.300.</w:t>
      </w:r>
    </w:p>
    <w:p>
      <w:pPr>
        <w:rPr>
          <w:rFonts w:hint="default" w:ascii="Arial" w:hAnsi="Arial" w:eastAsia="宋体" w:cs="Arial"/>
          <w:b/>
          <w:bCs/>
          <w:strike w:val="0"/>
          <w:dstrike w:val="0"/>
          <w:highlight w:val="yellow"/>
          <w:lang w:val="en-US" w:eastAsia="zh-CN" w:bidi="ar-SA"/>
        </w:rPr>
      </w:pPr>
    </w:p>
    <w:p>
      <w:pPr>
        <w:rPr>
          <w:rFonts w:hint="default" w:ascii="Arial" w:hAnsi="Arial" w:eastAsia="宋体" w:cs="Arial"/>
          <w:b/>
          <w:bCs/>
          <w:strike w:val="0"/>
          <w:dstrike w:val="0"/>
          <w:highlight w:val="yellow"/>
          <w:lang w:val="en-US" w:eastAsia="zh-CN" w:bidi="ar-SA"/>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70911"/>
    <w:multiLevelType w:val="singleLevel"/>
    <w:tmpl w:val="18770911"/>
    <w:lvl w:ilvl="0" w:tentative="0">
      <w:start w:val="1"/>
      <w:numFmt w:val="decimal"/>
      <w:suff w:val="space"/>
      <w:lvlText w:val="%1."/>
      <w:lvlJc w:val="left"/>
      <w:pPr>
        <w:ind w:left="55" w:leftChars="0" w:firstLine="0" w:firstLineChars="0"/>
      </w:pPr>
    </w:lvl>
  </w:abstractNum>
  <w:abstractNum w:abstractNumId="1">
    <w:nsid w:val="458547B7"/>
    <w:multiLevelType w:val="multilevel"/>
    <w:tmpl w:val="458547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35F2"/>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2E3609"/>
    <w:rsid w:val="01653004"/>
    <w:rsid w:val="01B03526"/>
    <w:rsid w:val="020D7E03"/>
    <w:rsid w:val="034F5AF3"/>
    <w:rsid w:val="03916F58"/>
    <w:rsid w:val="049A7BAD"/>
    <w:rsid w:val="04C741AB"/>
    <w:rsid w:val="04F94A80"/>
    <w:rsid w:val="05122903"/>
    <w:rsid w:val="055F46CE"/>
    <w:rsid w:val="06152078"/>
    <w:rsid w:val="063759BB"/>
    <w:rsid w:val="065A0D6E"/>
    <w:rsid w:val="07F2385B"/>
    <w:rsid w:val="088B03FC"/>
    <w:rsid w:val="093D2612"/>
    <w:rsid w:val="0AC125B6"/>
    <w:rsid w:val="0AE746A6"/>
    <w:rsid w:val="0AEA3603"/>
    <w:rsid w:val="0B341F9C"/>
    <w:rsid w:val="0C960400"/>
    <w:rsid w:val="0CCB44F5"/>
    <w:rsid w:val="0D716D9F"/>
    <w:rsid w:val="0EA327A8"/>
    <w:rsid w:val="0EBA0999"/>
    <w:rsid w:val="0F08776F"/>
    <w:rsid w:val="0F3E6073"/>
    <w:rsid w:val="107412C9"/>
    <w:rsid w:val="11455009"/>
    <w:rsid w:val="11A248C4"/>
    <w:rsid w:val="1209234A"/>
    <w:rsid w:val="129F63E8"/>
    <w:rsid w:val="12C64EA6"/>
    <w:rsid w:val="134F24D4"/>
    <w:rsid w:val="13B550CC"/>
    <w:rsid w:val="14C60373"/>
    <w:rsid w:val="14CA2CA9"/>
    <w:rsid w:val="15104C0D"/>
    <w:rsid w:val="15653B9F"/>
    <w:rsid w:val="15E34DA4"/>
    <w:rsid w:val="15F15724"/>
    <w:rsid w:val="1640799E"/>
    <w:rsid w:val="16BE63F9"/>
    <w:rsid w:val="17470A1F"/>
    <w:rsid w:val="176A6604"/>
    <w:rsid w:val="177669FC"/>
    <w:rsid w:val="17CB7D8E"/>
    <w:rsid w:val="18140037"/>
    <w:rsid w:val="18337079"/>
    <w:rsid w:val="19590C29"/>
    <w:rsid w:val="1A640B7F"/>
    <w:rsid w:val="1AD36C0B"/>
    <w:rsid w:val="1B071A15"/>
    <w:rsid w:val="1B28619E"/>
    <w:rsid w:val="1B49107A"/>
    <w:rsid w:val="1B6F362F"/>
    <w:rsid w:val="1C905B32"/>
    <w:rsid w:val="1D60134A"/>
    <w:rsid w:val="1DD36DDC"/>
    <w:rsid w:val="1E2E17EB"/>
    <w:rsid w:val="1E7239B2"/>
    <w:rsid w:val="1E90698D"/>
    <w:rsid w:val="1FD656A6"/>
    <w:rsid w:val="20A17B66"/>
    <w:rsid w:val="21B31EE0"/>
    <w:rsid w:val="21BB59A3"/>
    <w:rsid w:val="23081544"/>
    <w:rsid w:val="231642F3"/>
    <w:rsid w:val="24247929"/>
    <w:rsid w:val="24966D7D"/>
    <w:rsid w:val="249A60C5"/>
    <w:rsid w:val="25C139F2"/>
    <w:rsid w:val="25F35C92"/>
    <w:rsid w:val="269E01E2"/>
    <w:rsid w:val="26A442E1"/>
    <w:rsid w:val="28465834"/>
    <w:rsid w:val="284F75B3"/>
    <w:rsid w:val="29634717"/>
    <w:rsid w:val="29687A2D"/>
    <w:rsid w:val="29DA2ABF"/>
    <w:rsid w:val="29F40B8D"/>
    <w:rsid w:val="29F97CC3"/>
    <w:rsid w:val="2B2F7CCB"/>
    <w:rsid w:val="2B325279"/>
    <w:rsid w:val="2C130CB3"/>
    <w:rsid w:val="2CCB1B0B"/>
    <w:rsid w:val="2D1B5D17"/>
    <w:rsid w:val="2D803379"/>
    <w:rsid w:val="2E536B0E"/>
    <w:rsid w:val="2E9E34CB"/>
    <w:rsid w:val="2EFF1A22"/>
    <w:rsid w:val="2F5640B8"/>
    <w:rsid w:val="2FAB1240"/>
    <w:rsid w:val="2FD2373D"/>
    <w:rsid w:val="304A109F"/>
    <w:rsid w:val="30985D6C"/>
    <w:rsid w:val="31394A63"/>
    <w:rsid w:val="319978BA"/>
    <w:rsid w:val="328840B2"/>
    <w:rsid w:val="32B341AB"/>
    <w:rsid w:val="331F33B5"/>
    <w:rsid w:val="33967355"/>
    <w:rsid w:val="33CA4D39"/>
    <w:rsid w:val="34181B07"/>
    <w:rsid w:val="34A9093D"/>
    <w:rsid w:val="350542A9"/>
    <w:rsid w:val="35BE1505"/>
    <w:rsid w:val="360B0BD4"/>
    <w:rsid w:val="36253BD4"/>
    <w:rsid w:val="365D72DF"/>
    <w:rsid w:val="366342C3"/>
    <w:rsid w:val="368C5458"/>
    <w:rsid w:val="373756BD"/>
    <w:rsid w:val="38080AFC"/>
    <w:rsid w:val="386E1304"/>
    <w:rsid w:val="38ED6BC1"/>
    <w:rsid w:val="393C5B0F"/>
    <w:rsid w:val="3AF63257"/>
    <w:rsid w:val="3B604739"/>
    <w:rsid w:val="3B70192C"/>
    <w:rsid w:val="3B7D7689"/>
    <w:rsid w:val="3BA44D1B"/>
    <w:rsid w:val="3BF0437B"/>
    <w:rsid w:val="3CAB6F30"/>
    <w:rsid w:val="3D0F0754"/>
    <w:rsid w:val="3D7F279F"/>
    <w:rsid w:val="3D804564"/>
    <w:rsid w:val="3DA150F0"/>
    <w:rsid w:val="3E014F0A"/>
    <w:rsid w:val="3E0672BB"/>
    <w:rsid w:val="3E4073AC"/>
    <w:rsid w:val="3E7C7F3A"/>
    <w:rsid w:val="3F1069BC"/>
    <w:rsid w:val="3F1861BC"/>
    <w:rsid w:val="40141A04"/>
    <w:rsid w:val="404506D4"/>
    <w:rsid w:val="40F21C34"/>
    <w:rsid w:val="4166378B"/>
    <w:rsid w:val="41A65EA3"/>
    <w:rsid w:val="436B29C5"/>
    <w:rsid w:val="441A6FEF"/>
    <w:rsid w:val="4444064C"/>
    <w:rsid w:val="44801B2A"/>
    <w:rsid w:val="44886862"/>
    <w:rsid w:val="44DF0402"/>
    <w:rsid w:val="45371070"/>
    <w:rsid w:val="46111146"/>
    <w:rsid w:val="47033608"/>
    <w:rsid w:val="47336729"/>
    <w:rsid w:val="474B41E7"/>
    <w:rsid w:val="477C57F9"/>
    <w:rsid w:val="477E17FB"/>
    <w:rsid w:val="478C6810"/>
    <w:rsid w:val="4813277A"/>
    <w:rsid w:val="48442A15"/>
    <w:rsid w:val="48C869B9"/>
    <w:rsid w:val="48D56DA1"/>
    <w:rsid w:val="48F50D25"/>
    <w:rsid w:val="499D4A80"/>
    <w:rsid w:val="4A296E80"/>
    <w:rsid w:val="4AEB7516"/>
    <w:rsid w:val="4BD934A4"/>
    <w:rsid w:val="4BED3EAE"/>
    <w:rsid w:val="4C102385"/>
    <w:rsid w:val="4C246517"/>
    <w:rsid w:val="4C8F4A1D"/>
    <w:rsid w:val="4CB751DC"/>
    <w:rsid w:val="4D3A3960"/>
    <w:rsid w:val="4DD20B0C"/>
    <w:rsid w:val="4DEB3CA6"/>
    <w:rsid w:val="4E292F07"/>
    <w:rsid w:val="4E7E4EDA"/>
    <w:rsid w:val="4EBE7A2F"/>
    <w:rsid w:val="4EE807D8"/>
    <w:rsid w:val="4F1103F1"/>
    <w:rsid w:val="5024694A"/>
    <w:rsid w:val="505C37E2"/>
    <w:rsid w:val="5143338A"/>
    <w:rsid w:val="51506211"/>
    <w:rsid w:val="5227499A"/>
    <w:rsid w:val="535C7E27"/>
    <w:rsid w:val="53B71CB1"/>
    <w:rsid w:val="53D0459E"/>
    <w:rsid w:val="54AA2792"/>
    <w:rsid w:val="552B0F55"/>
    <w:rsid w:val="5574112A"/>
    <w:rsid w:val="55B63368"/>
    <w:rsid w:val="55B800FD"/>
    <w:rsid w:val="55BC5B97"/>
    <w:rsid w:val="55D8044D"/>
    <w:rsid w:val="56A75ACF"/>
    <w:rsid w:val="574A2641"/>
    <w:rsid w:val="577B778A"/>
    <w:rsid w:val="57D61957"/>
    <w:rsid w:val="585F74FA"/>
    <w:rsid w:val="58C71F4B"/>
    <w:rsid w:val="5ACF0E87"/>
    <w:rsid w:val="5B142131"/>
    <w:rsid w:val="5B1852E8"/>
    <w:rsid w:val="5B2D6B16"/>
    <w:rsid w:val="5B6900FF"/>
    <w:rsid w:val="5D394BA9"/>
    <w:rsid w:val="5ECB499B"/>
    <w:rsid w:val="5EEE0B96"/>
    <w:rsid w:val="5F002FAA"/>
    <w:rsid w:val="5F170D63"/>
    <w:rsid w:val="5F4B385F"/>
    <w:rsid w:val="606206D1"/>
    <w:rsid w:val="624B5FBC"/>
    <w:rsid w:val="626D7008"/>
    <w:rsid w:val="63035A96"/>
    <w:rsid w:val="63346CC0"/>
    <w:rsid w:val="63AA1258"/>
    <w:rsid w:val="64E54B91"/>
    <w:rsid w:val="64EB0AAB"/>
    <w:rsid w:val="65173B42"/>
    <w:rsid w:val="652362F6"/>
    <w:rsid w:val="654B6A35"/>
    <w:rsid w:val="657A1BE0"/>
    <w:rsid w:val="67216CA3"/>
    <w:rsid w:val="67AA0963"/>
    <w:rsid w:val="67B00136"/>
    <w:rsid w:val="67B204E2"/>
    <w:rsid w:val="68E75D09"/>
    <w:rsid w:val="6A074617"/>
    <w:rsid w:val="6A63480B"/>
    <w:rsid w:val="6BC2757D"/>
    <w:rsid w:val="6C0E7ED4"/>
    <w:rsid w:val="6C1446DA"/>
    <w:rsid w:val="6CCE0AA0"/>
    <w:rsid w:val="6CE7199A"/>
    <w:rsid w:val="6D5448FD"/>
    <w:rsid w:val="6E476407"/>
    <w:rsid w:val="6E7175AA"/>
    <w:rsid w:val="6EB948CF"/>
    <w:rsid w:val="6ED33887"/>
    <w:rsid w:val="70020621"/>
    <w:rsid w:val="70021DA4"/>
    <w:rsid w:val="70323E75"/>
    <w:rsid w:val="70641594"/>
    <w:rsid w:val="711D2FE5"/>
    <w:rsid w:val="714629B6"/>
    <w:rsid w:val="716B7100"/>
    <w:rsid w:val="71886181"/>
    <w:rsid w:val="71AD054D"/>
    <w:rsid w:val="72083A21"/>
    <w:rsid w:val="72C3358F"/>
    <w:rsid w:val="75064250"/>
    <w:rsid w:val="75681CAA"/>
    <w:rsid w:val="759228AD"/>
    <w:rsid w:val="76231FA7"/>
    <w:rsid w:val="76496E74"/>
    <w:rsid w:val="7651666D"/>
    <w:rsid w:val="76A04A43"/>
    <w:rsid w:val="76A91911"/>
    <w:rsid w:val="76C058AD"/>
    <w:rsid w:val="771969BF"/>
    <w:rsid w:val="771C7284"/>
    <w:rsid w:val="77286809"/>
    <w:rsid w:val="774D398D"/>
    <w:rsid w:val="77ED395F"/>
    <w:rsid w:val="78585308"/>
    <w:rsid w:val="78C9455C"/>
    <w:rsid w:val="78F65E7C"/>
    <w:rsid w:val="7947312D"/>
    <w:rsid w:val="79A8054F"/>
    <w:rsid w:val="7A0B4F65"/>
    <w:rsid w:val="7A105E95"/>
    <w:rsid w:val="7AAA7A71"/>
    <w:rsid w:val="7AB8699D"/>
    <w:rsid w:val="7B8959A8"/>
    <w:rsid w:val="7C0A0AF2"/>
    <w:rsid w:val="7DFA7A2A"/>
    <w:rsid w:val="7E57221F"/>
    <w:rsid w:val="7E5A5580"/>
    <w:rsid w:val="7E637DAD"/>
    <w:rsid w:val="7F225102"/>
    <w:rsid w:val="7F6F48A6"/>
    <w:rsid w:val="7FA610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51"/>
    <w:qFormat/>
    <w:uiPriority w:val="0"/>
    <w:pPr>
      <w:shd w:val="clear" w:color="auto" w:fill="000080"/>
    </w:pPr>
    <w:rPr>
      <w:rFonts w:ascii="Tahoma" w:hAnsi="Tahoma" w:cs="Tahoma"/>
    </w:rPr>
  </w:style>
  <w:style w:type="paragraph" w:styleId="29">
    <w:name w:val="annotation text"/>
    <w:basedOn w:val="1"/>
    <w:link w:val="5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3"/>
    <w:qFormat/>
    <w:uiPriority w:val="0"/>
    <w:rPr>
      <w:rFonts w:ascii="Tahoma" w:hAnsi="Tahoma" w:cs="Tahoma"/>
      <w:sz w:val="16"/>
      <w:szCs w:val="16"/>
    </w:rPr>
  </w:style>
  <w:style w:type="paragraph" w:styleId="33">
    <w:name w:val="footer"/>
    <w:basedOn w:val="34"/>
    <w:link w:val="55"/>
    <w:qFormat/>
    <w:uiPriority w:val="0"/>
    <w:pPr>
      <w:jc w:val="center"/>
    </w:pPr>
    <w:rPr>
      <w:i/>
    </w:rPr>
  </w:style>
  <w:style w:type="paragraph" w:styleId="34">
    <w:name w:val="header"/>
    <w:link w:val="54"/>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56"/>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57"/>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Heading 3 Char"/>
    <w:link w:val="4"/>
    <w:qFormat/>
    <w:uiPriority w:val="0"/>
    <w:rPr>
      <w:rFonts w:ascii="Arial" w:hAnsi="Arial"/>
      <w:sz w:val="28"/>
      <w:lang w:val="en-GB"/>
    </w:rPr>
  </w:style>
  <w:style w:type="character" w:customStyle="1" w:styleId="49">
    <w:name w:val="Heading 4 Char"/>
    <w:link w:val="5"/>
    <w:qFormat/>
    <w:uiPriority w:val="0"/>
    <w:rPr>
      <w:rFonts w:ascii="Arial" w:hAnsi="Arial"/>
      <w:sz w:val="24"/>
      <w:lang w:val="en-GB"/>
    </w:rPr>
  </w:style>
  <w:style w:type="character" w:customStyle="1" w:styleId="50">
    <w:name w:val="Heading 6 Char"/>
    <w:link w:val="7"/>
    <w:qFormat/>
    <w:uiPriority w:val="0"/>
    <w:rPr>
      <w:rFonts w:ascii="Arial" w:hAnsi="Arial"/>
      <w:lang w:val="en-GB"/>
    </w:rPr>
  </w:style>
  <w:style w:type="character" w:customStyle="1" w:styleId="51">
    <w:name w:val="Document Map Char"/>
    <w:link w:val="28"/>
    <w:qFormat/>
    <w:uiPriority w:val="0"/>
    <w:rPr>
      <w:rFonts w:ascii="Tahoma" w:hAnsi="Tahoma" w:cs="Tahoma"/>
      <w:shd w:val="clear" w:color="auto" w:fill="000080"/>
      <w:lang w:val="en-GB"/>
    </w:rPr>
  </w:style>
  <w:style w:type="character" w:customStyle="1" w:styleId="52">
    <w:name w:val="Comment Text Char"/>
    <w:link w:val="29"/>
    <w:qFormat/>
    <w:uiPriority w:val="0"/>
    <w:rPr>
      <w:rFonts w:ascii="Times New Roman" w:hAnsi="Times New Roman"/>
      <w:lang w:val="en-GB"/>
    </w:rPr>
  </w:style>
  <w:style w:type="character" w:customStyle="1" w:styleId="53">
    <w:name w:val="Balloon Text Char"/>
    <w:link w:val="32"/>
    <w:qFormat/>
    <w:uiPriority w:val="0"/>
    <w:rPr>
      <w:rFonts w:ascii="Tahoma" w:hAnsi="Tahoma" w:cs="Tahoma"/>
      <w:sz w:val="16"/>
      <w:szCs w:val="16"/>
      <w:lang w:val="en-GB"/>
    </w:rPr>
  </w:style>
  <w:style w:type="character" w:customStyle="1" w:styleId="54">
    <w:name w:val="Header Char"/>
    <w:link w:val="34"/>
    <w:qFormat/>
    <w:uiPriority w:val="0"/>
    <w:rPr>
      <w:rFonts w:ascii="Arial" w:hAnsi="Arial"/>
      <w:b/>
      <w:sz w:val="18"/>
      <w:lang w:eastAsia="en-US"/>
    </w:rPr>
  </w:style>
  <w:style w:type="character" w:customStyle="1" w:styleId="55">
    <w:name w:val="Footer Char"/>
    <w:link w:val="33"/>
    <w:qFormat/>
    <w:uiPriority w:val="0"/>
    <w:rPr>
      <w:rFonts w:ascii="Arial" w:hAnsi="Arial"/>
      <w:b/>
      <w:i/>
      <w:sz w:val="18"/>
      <w:lang w:val="en-GB"/>
    </w:rPr>
  </w:style>
  <w:style w:type="character" w:customStyle="1" w:styleId="56">
    <w:name w:val="Footnote Text Char"/>
    <w:link w:val="35"/>
    <w:qFormat/>
    <w:uiPriority w:val="0"/>
    <w:rPr>
      <w:rFonts w:ascii="Times New Roman" w:hAnsi="Times New Roman"/>
      <w:sz w:val="16"/>
      <w:lang w:val="en-GB"/>
    </w:rPr>
  </w:style>
  <w:style w:type="character" w:customStyle="1" w:styleId="57">
    <w:name w:val="Comment Subject Char"/>
    <w:link w:val="41"/>
    <w:qFormat/>
    <w:uiPriority w:val="0"/>
    <w:rPr>
      <w:rFonts w:ascii="Times New Roman" w:hAnsi="Times New Roman"/>
      <w:b/>
      <w:bCs/>
      <w:lang w:val="en-GB"/>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T"/>
    <w:basedOn w:val="2"/>
    <w:next w:val="1"/>
    <w:qFormat/>
    <w:uiPriority w:val="0"/>
    <w:pPr>
      <w:outlineLvl w:val="9"/>
    </w:pPr>
  </w:style>
  <w:style w:type="paragraph" w:customStyle="1" w:styleId="61">
    <w:name w:val="TAH"/>
    <w:basedOn w:val="62"/>
    <w:link w:val="66"/>
    <w:qFormat/>
    <w:uiPriority w:val="0"/>
    <w:rPr>
      <w:b/>
    </w:rPr>
  </w:style>
  <w:style w:type="paragraph" w:customStyle="1" w:styleId="62">
    <w:name w:val="TAC"/>
    <w:basedOn w:val="63"/>
    <w:link w:val="65"/>
    <w:qFormat/>
    <w:uiPriority w:val="0"/>
    <w:pPr>
      <w:jc w:val="center"/>
    </w:pPr>
  </w:style>
  <w:style w:type="paragraph" w:customStyle="1" w:styleId="63">
    <w:name w:val="TAL"/>
    <w:basedOn w:val="1"/>
    <w:link w:val="64"/>
    <w:qFormat/>
    <w:uiPriority w:val="0"/>
    <w:pPr>
      <w:keepNext/>
      <w:keepLines/>
      <w:spacing w:after="0"/>
    </w:pPr>
    <w:rPr>
      <w:rFonts w:ascii="Arial" w:hAnsi="Arial"/>
      <w:sz w:val="18"/>
    </w:rPr>
  </w:style>
  <w:style w:type="character" w:customStyle="1" w:styleId="64">
    <w:name w:val="TAL Char"/>
    <w:link w:val="63"/>
    <w:qFormat/>
    <w:uiPriority w:val="0"/>
    <w:rPr>
      <w:rFonts w:ascii="Arial" w:hAnsi="Arial"/>
      <w:sz w:val="18"/>
      <w:lang w:val="en-GB"/>
    </w:rPr>
  </w:style>
  <w:style w:type="character" w:customStyle="1" w:styleId="65">
    <w:name w:val="TAC Char"/>
    <w:link w:val="62"/>
    <w:qFormat/>
    <w:uiPriority w:val="0"/>
    <w:rPr>
      <w:rFonts w:ascii="Arial" w:hAnsi="Arial"/>
      <w:sz w:val="18"/>
      <w:lang w:val="en-GB"/>
    </w:rPr>
  </w:style>
  <w:style w:type="character" w:customStyle="1" w:styleId="66">
    <w:name w:val="TAH Char"/>
    <w:link w:val="61"/>
    <w:qFormat/>
    <w:uiPriority w:val="0"/>
    <w:rPr>
      <w:rFonts w:ascii="Arial" w:hAnsi="Arial"/>
      <w:b/>
      <w:sz w:val="18"/>
      <w:lang w:val="en-GB"/>
    </w:rPr>
  </w:style>
  <w:style w:type="paragraph" w:customStyle="1" w:styleId="67">
    <w:name w:val="TF"/>
    <w:basedOn w:val="68"/>
    <w:link w:val="70"/>
    <w:qFormat/>
    <w:uiPriority w:val="0"/>
    <w:pPr>
      <w:keepNext w:val="0"/>
      <w:spacing w:before="0" w:after="240"/>
    </w:p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b/>
      <w:lang w:val="en-GB"/>
    </w:rPr>
  </w:style>
  <w:style w:type="character" w:customStyle="1" w:styleId="70">
    <w:name w:val="TF Char"/>
    <w:link w:val="67"/>
    <w:qFormat/>
    <w:uiPriority w:val="0"/>
    <w:rPr>
      <w:rFonts w:ascii="Arial" w:hAnsi="Arial"/>
      <w:b/>
      <w:lang w:val="en-GB"/>
    </w:rPr>
  </w:style>
  <w:style w:type="paragraph" w:customStyle="1" w:styleId="71">
    <w:name w:val="NO"/>
    <w:basedOn w:val="1"/>
    <w:link w:val="72"/>
    <w:qFormat/>
    <w:uiPriority w:val="0"/>
    <w:pPr>
      <w:keepLines/>
      <w:ind w:left="1135" w:hanging="851"/>
    </w:pPr>
  </w:style>
  <w:style w:type="character" w:customStyle="1" w:styleId="72">
    <w:name w:val="NO Char"/>
    <w:link w:val="71"/>
    <w:qFormat/>
    <w:uiPriority w:val="0"/>
    <w:rPr>
      <w:rFonts w:ascii="Times New Roman" w:hAnsi="Times New Roman"/>
      <w:lang w:val="en-GB"/>
    </w:rPr>
  </w:style>
  <w:style w:type="paragraph" w:customStyle="1" w:styleId="73">
    <w:name w:val="EX"/>
    <w:basedOn w:val="1"/>
    <w:link w:val="74"/>
    <w:qFormat/>
    <w:uiPriority w:val="0"/>
    <w:pPr>
      <w:keepLines/>
      <w:ind w:left="1702" w:hanging="1418"/>
    </w:pPr>
  </w:style>
  <w:style w:type="character" w:customStyle="1" w:styleId="74">
    <w:name w:val="EX Char"/>
    <w:link w:val="73"/>
    <w:qFormat/>
    <w:locked/>
    <w:uiPriority w:val="0"/>
    <w:rPr>
      <w:rFonts w:ascii="Times New Roman" w:hAnsi="Times New Roman"/>
      <w:lang w:val="en-GB"/>
    </w:rPr>
  </w:style>
  <w:style w:type="paragraph" w:customStyle="1" w:styleId="75">
    <w:name w:val="FP"/>
    <w:basedOn w:val="1"/>
    <w:qFormat/>
    <w:uiPriority w:val="0"/>
    <w:pPr>
      <w:spacing w:after="0"/>
    </w:pPr>
  </w:style>
  <w:style w:type="paragraph" w:customStyle="1" w:styleId="7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7">
    <w:name w:val="NW"/>
    <w:basedOn w:val="71"/>
    <w:qFormat/>
    <w:uiPriority w:val="0"/>
    <w:pPr>
      <w:spacing w:after="0"/>
    </w:pPr>
  </w:style>
  <w:style w:type="paragraph" w:customStyle="1" w:styleId="78">
    <w:name w:val="EW"/>
    <w:basedOn w:val="73"/>
    <w:qFormat/>
    <w:uiPriority w:val="0"/>
    <w:pPr>
      <w:spacing w:after="0"/>
    </w:pPr>
  </w:style>
  <w:style w:type="paragraph" w:customStyle="1" w:styleId="79">
    <w:name w:val="EQ"/>
    <w:basedOn w:val="1"/>
    <w:next w:val="1"/>
    <w:qFormat/>
    <w:uiPriority w:val="0"/>
    <w:pPr>
      <w:keepLines/>
      <w:tabs>
        <w:tab w:val="center" w:pos="4536"/>
        <w:tab w:val="right" w:pos="9072"/>
      </w:tabs>
    </w:pPr>
  </w:style>
  <w:style w:type="paragraph" w:customStyle="1" w:styleId="80">
    <w:name w:val="NF"/>
    <w:basedOn w:val="71"/>
    <w:qFormat/>
    <w:uiPriority w:val="0"/>
    <w:pPr>
      <w:keepNext/>
      <w:spacing w:after="0"/>
    </w:pPr>
    <w:rPr>
      <w:rFonts w:ascii="Arial" w:hAnsi="Arial"/>
      <w:sz w:val="18"/>
    </w:rPr>
  </w:style>
  <w:style w:type="paragraph" w:customStyle="1" w:styleId="81">
    <w:name w:val="PL"/>
    <w:link w:val="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2">
    <w:name w:val="PL Char"/>
    <w:link w:val="81"/>
    <w:qFormat/>
    <w:uiPriority w:val="0"/>
    <w:rPr>
      <w:rFonts w:ascii="Courier New" w:hAnsi="Courier New"/>
      <w:sz w:val="16"/>
      <w:lang w:val="en-GB"/>
    </w:rPr>
  </w:style>
  <w:style w:type="paragraph" w:customStyle="1" w:styleId="83">
    <w:name w:val="TAR"/>
    <w:basedOn w:val="63"/>
    <w:qFormat/>
    <w:uiPriority w:val="0"/>
    <w:pPr>
      <w:jc w:val="right"/>
    </w:pPr>
  </w:style>
  <w:style w:type="paragraph" w:customStyle="1" w:styleId="84">
    <w:name w:val="TAN"/>
    <w:basedOn w:val="63"/>
    <w:qFormat/>
    <w:uiPriority w:val="0"/>
    <w:pPr>
      <w:ind w:left="851" w:hanging="851"/>
    </w:pPr>
  </w:style>
  <w:style w:type="paragraph" w:customStyle="1" w:styleId="8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9">
    <w:name w:val="ZV"/>
    <w:basedOn w:val="88"/>
    <w:qFormat/>
    <w:uiPriority w:val="0"/>
    <w:pPr>
      <w:framePr w:y="16161"/>
    </w:pPr>
  </w:style>
  <w:style w:type="character" w:customStyle="1" w:styleId="90">
    <w:name w:val="ZGSM"/>
    <w:qFormat/>
    <w:uiPriority w:val="0"/>
  </w:style>
  <w:style w:type="paragraph" w:customStyle="1" w:styleId="9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2">
    <w:name w:val="Editor's Note"/>
    <w:basedOn w:val="71"/>
    <w:link w:val="93"/>
    <w:qFormat/>
    <w:uiPriority w:val="0"/>
    <w:rPr>
      <w:color w:val="FF0000"/>
    </w:rPr>
  </w:style>
  <w:style w:type="character" w:customStyle="1" w:styleId="93">
    <w:name w:val="Editor's Note Char"/>
    <w:link w:val="92"/>
    <w:qFormat/>
    <w:uiPriority w:val="0"/>
    <w:rPr>
      <w:rFonts w:ascii="Times New Roman" w:hAnsi="Times New Roman"/>
      <w:color w:val="FF0000"/>
      <w:lang w:val="en-GB"/>
    </w:rPr>
  </w:style>
  <w:style w:type="paragraph" w:customStyle="1" w:styleId="94">
    <w:name w:val="B1"/>
    <w:basedOn w:val="14"/>
    <w:link w:val="95"/>
    <w:qFormat/>
    <w:uiPriority w:val="0"/>
  </w:style>
  <w:style w:type="character" w:customStyle="1" w:styleId="95">
    <w:name w:val="B1 Char"/>
    <w:link w:val="94"/>
    <w:qFormat/>
    <w:uiPriority w:val="0"/>
    <w:rPr>
      <w:rFonts w:ascii="Times New Roman" w:hAnsi="Times New Roman"/>
      <w:lang w:val="en-GB"/>
    </w:rPr>
  </w:style>
  <w:style w:type="paragraph" w:customStyle="1" w:styleId="96">
    <w:name w:val="B2"/>
    <w:basedOn w:val="13"/>
    <w:link w:val="97"/>
    <w:qFormat/>
    <w:uiPriority w:val="0"/>
  </w:style>
  <w:style w:type="character" w:customStyle="1" w:styleId="97">
    <w:name w:val="B2 Char"/>
    <w:link w:val="96"/>
    <w:qFormat/>
    <w:uiPriority w:val="0"/>
    <w:rPr>
      <w:rFonts w:ascii="Times New Roman" w:hAnsi="Times New Roman"/>
      <w:lang w:val="en-GB"/>
    </w:rPr>
  </w:style>
  <w:style w:type="paragraph" w:customStyle="1" w:styleId="98">
    <w:name w:val="B3"/>
    <w:basedOn w:val="12"/>
    <w:link w:val="99"/>
    <w:qFormat/>
    <w:uiPriority w:val="0"/>
  </w:style>
  <w:style w:type="character" w:customStyle="1" w:styleId="99">
    <w:name w:val="B3 Char"/>
    <w:link w:val="98"/>
    <w:qFormat/>
    <w:uiPriority w:val="0"/>
    <w:rPr>
      <w:rFonts w:ascii="Times New Roman" w:hAnsi="Times New Roman"/>
      <w:lang w:val="en-GB"/>
    </w:rPr>
  </w:style>
  <w:style w:type="paragraph" w:customStyle="1" w:styleId="100">
    <w:name w:val="B4"/>
    <w:basedOn w:val="37"/>
    <w:qFormat/>
    <w:uiPriority w:val="0"/>
  </w:style>
  <w:style w:type="paragraph" w:customStyle="1" w:styleId="101">
    <w:name w:val="B5"/>
    <w:basedOn w:val="36"/>
    <w:qFormat/>
    <w:uiPriority w:val="0"/>
  </w:style>
  <w:style w:type="paragraph" w:customStyle="1" w:styleId="102">
    <w:name w:val="ZTD"/>
    <w:basedOn w:val="86"/>
    <w:qFormat/>
    <w:uiPriority w:val="0"/>
    <w:pPr>
      <w:framePr w:hRule="auto" w:y="852"/>
    </w:pPr>
    <w:rPr>
      <w:i w:val="0"/>
      <w:sz w:val="40"/>
    </w:rPr>
  </w:style>
  <w:style w:type="paragraph" w:customStyle="1" w:styleId="103">
    <w:name w:val="CR Cover Page"/>
    <w:qFormat/>
    <w:uiPriority w:val="0"/>
    <w:pPr>
      <w:spacing w:after="120"/>
    </w:pPr>
    <w:rPr>
      <w:rFonts w:ascii="Arial" w:hAnsi="Arial" w:eastAsia="Times New Roman" w:cs="Times New Roman"/>
      <w:lang w:val="en-GB" w:eastAsia="en-US" w:bidi="ar-SA"/>
    </w:rPr>
  </w:style>
  <w:style w:type="paragraph" w:customStyle="1" w:styleId="104">
    <w:name w:val="tdoc-header"/>
    <w:qFormat/>
    <w:uiPriority w:val="0"/>
    <w:rPr>
      <w:rFonts w:ascii="Arial" w:hAnsi="Arial" w:eastAsia="Times New Roman" w:cs="Times New Roman"/>
      <w:sz w:val="24"/>
      <w:lang w:val="en-GB" w:eastAsia="en-US" w:bidi="ar-SA"/>
    </w:rPr>
  </w:style>
  <w:style w:type="paragraph" w:customStyle="1" w:styleId="105">
    <w:name w:val="First Change"/>
    <w:basedOn w:val="1"/>
    <w:qFormat/>
    <w:uiPriority w:val="0"/>
    <w:pPr>
      <w:jc w:val="center"/>
    </w:pPr>
    <w:rPr>
      <w:color w:val="FF0000"/>
    </w:rPr>
  </w:style>
  <w:style w:type="paragraph" w:customStyle="1" w:styleId="106">
    <w:name w:val="a"/>
    <w:basedOn w:val="103"/>
    <w:qFormat/>
    <w:uiPriority w:val="0"/>
    <w:pPr>
      <w:tabs>
        <w:tab w:val="left" w:pos="1985"/>
      </w:tabs>
    </w:pPr>
    <w:rPr>
      <w:rFonts w:cs="Arial"/>
      <w:b/>
      <w:bCs/>
      <w:color w:val="000000"/>
      <w:sz w:val="24"/>
      <w:szCs w:val="24"/>
      <w:lang w:val="en-US"/>
    </w:rPr>
  </w:style>
  <w:style w:type="paragraph" w:customStyle="1" w:styleId="107">
    <w:name w:val="Discussion"/>
    <w:basedOn w:val="1"/>
    <w:qFormat/>
    <w:uiPriority w:val="0"/>
    <w:rPr>
      <w:rFonts w:ascii="Arial" w:hAnsi="Arial" w:cs="Arial"/>
    </w:rPr>
  </w:style>
  <w:style w:type="paragraph" w:customStyle="1" w:styleId="108">
    <w:name w:val="TAJ"/>
    <w:basedOn w:val="68"/>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Revision"/>
    <w:semiHidden/>
    <w:qFormat/>
    <w:uiPriority w:val="99"/>
    <w:rPr>
      <w:rFonts w:ascii="Times New Roman" w:hAnsi="Times New Roman" w:eastAsia="Times New Roman" w:cs="Times New Roman"/>
      <w:lang w:val="en-GB" w:eastAsia="en-US" w:bidi="ar-SA"/>
    </w:rPr>
  </w:style>
  <w:style w:type="character" w:customStyle="1" w:styleId="111">
    <w:name w:val="Mention"/>
    <w:unhideWhenUsed/>
    <w:qFormat/>
    <w:uiPriority w:val="99"/>
    <w:rPr>
      <w:color w:val="2B579A"/>
      <w:shd w:val="clear" w:color="auto" w:fill="E6E6E6"/>
    </w:rPr>
  </w:style>
  <w:style w:type="paragraph" w:customStyle="1" w:styleId="112">
    <w:name w:val="Discusson B1"/>
    <w:basedOn w:val="107"/>
    <w:qFormat/>
    <w:uiPriority w:val="0"/>
    <w:pPr>
      <w:ind w:left="567" w:hanging="283"/>
    </w:pPr>
  </w:style>
  <w:style w:type="paragraph" w:customStyle="1" w:styleId="113">
    <w:name w:val="Discussion B2"/>
    <w:basedOn w:val="112"/>
    <w:qFormat/>
    <w:uiPriority w:val="0"/>
    <w:pPr>
      <w:ind w:left="851"/>
    </w:pPr>
  </w:style>
  <w:style w:type="character" w:customStyle="1" w:styleId="114">
    <w:name w:val="Unresolved Mention"/>
    <w:basedOn w:val="43"/>
    <w:unhideWhenUsed/>
    <w:qFormat/>
    <w:uiPriority w:val="99"/>
    <w:rPr>
      <w:color w:val="605E5C"/>
      <w:shd w:val="clear" w:color="auto" w:fill="E1DFDD"/>
    </w:rPr>
  </w:style>
  <w:style w:type="paragraph" w:styleId="115">
    <w:name w:val="List Paragraph"/>
    <w:basedOn w:val="1"/>
    <w:qFormat/>
    <w:uiPriority w:val="99"/>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260</Words>
  <Characters>1487</Characters>
  <Lines>12</Lines>
  <Paragraphs>3</Paragraphs>
  <TotalTime>0</TotalTime>
  <ScaleCrop>false</ScaleCrop>
  <LinksUpToDate>false</LinksUpToDate>
  <CharactersWithSpaces>1744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2023-05-25T08:03:00Z</dcterms:created>
  <dc:creator>Michael Sanders, John M Meredith</dc:creator>
  <cp:lastModifiedBy>ZTE</cp:lastModifiedBy>
  <cp:lastPrinted>2411-12-31T23:00:00Z</cp:lastPrinted>
  <dcterms:modified xsi:type="dcterms:W3CDTF">2023-09-29T05:47:36Z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